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0Paragraphe"/>
        <w:spacing w:before="120" w:after="0"/>
        <w:rPr/>
      </w:pPr>
      <w:r>
        <w:rPr/>
      </w:r>
    </w:p>
    <w:p>
      <w:pPr>
        <w:pStyle w:val="Titre1"/>
        <w:numPr>
          <w:ilvl w:val="0"/>
          <w:numId w:val="1"/>
        </w:numPr>
        <w:rPr/>
      </w:pPr>
      <w:r>
        <w:rPr/>
        <w:t>A.S.G.E.</w:t>
      </w:r>
    </w:p>
    <w:p>
      <w:pPr>
        <w:pStyle w:val="Titre1"/>
        <w:numPr>
          <w:ilvl w:val="0"/>
          <w:numId w:val="1"/>
        </w:numPr>
        <w:rPr/>
      </w:pPr>
      <w:r>
        <w:rPr/>
        <w:t>Fiche Organisateur</w:t>
      </w:r>
    </w:p>
    <w:p>
      <w:pPr>
        <w:pStyle w:val="Normal"/>
        <w:rPr/>
      </w:pPr>
      <w:r>
        <w:rPr/>
      </w:r>
    </w:p>
    <w:tbl>
      <w:tblPr>
        <w:tblW w:w="10741" w:type="dxa"/>
        <w:jc w:val="left"/>
        <w:tblInd w:w="-30" w:type="dxa"/>
        <w:tblBorders>
          <w:top w:val="single" w:sz="24" w:space="0" w:color="244061"/>
          <w:left w:val="single" w:sz="24" w:space="0" w:color="244061"/>
          <w:bottom w:val="single" w:sz="24" w:space="0" w:color="244061"/>
          <w:right w:val="single" w:sz="24" w:space="0" w:color="244061"/>
          <w:insideH w:val="single" w:sz="24" w:space="0" w:color="244061"/>
          <w:insideV w:val="single" w:sz="24" w:space="0" w:color="244061"/>
        </w:tblBorders>
        <w:tblCellMar>
          <w:top w:w="0" w:type="dxa"/>
          <w:left w:w="40" w:type="dxa"/>
          <w:bottom w:w="0" w:type="dxa"/>
          <w:right w:w="70" w:type="dxa"/>
        </w:tblCellMar>
      </w:tblPr>
      <w:tblGrid>
        <w:gridCol w:w="2414"/>
        <w:gridCol w:w="8277"/>
        <w:gridCol w:w="50"/>
      </w:tblGrid>
      <w:tr>
        <w:trPr>
          <w:trHeight w:val="680" w:hRule="atLeast"/>
        </w:trPr>
        <w:tc>
          <w:tcPr>
            <w:tcW w:w="10741" w:type="dxa"/>
            <w:gridSpan w:val="2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  <w:insideH w:val="single" w:sz="24" w:space="0" w:color="244061"/>
              <w:insideV w:val="single" w:sz="24" w:space="0" w:color="244061"/>
            </w:tcBorders>
            <w:shd w:fill="DBE5F1" w:val="clear"/>
            <w:tcMar>
              <w:left w:w="40" w:type="dxa"/>
            </w:tcMar>
          </w:tcPr>
          <w:p>
            <w:pPr>
              <w:pStyle w:val="11TableauTitre"/>
              <w:tabs>
                <w:tab w:val="left" w:pos="-3058" w:leader="none"/>
                <w:tab w:val="left" w:pos="705" w:leader="none"/>
                <w:tab w:val="left" w:pos="5688" w:leader="none"/>
              </w:tabs>
              <w:spacing w:before="120" w:after="120"/>
              <w:rPr/>
            </w:pPr>
            <w:r>
              <w:rPr/>
              <w:t>Golf :</w:t>
            </w:r>
          </w:p>
          <w:p>
            <w:pPr>
              <w:pStyle w:val="11TableauTitre"/>
              <w:rPr/>
            </w:pPr>
            <w:r>
              <w:rPr/>
              <w:t>Date :</w:t>
            </w:r>
          </w:p>
          <w:p>
            <w:pPr>
              <w:pStyle w:val="11TableauTitre"/>
              <w:tabs>
                <w:tab w:val="left" w:pos="-3058" w:leader="none"/>
                <w:tab w:val="left" w:pos="705" w:leader="none"/>
                <w:tab w:val="left" w:pos="5688" w:leader="none"/>
              </w:tabs>
              <w:spacing w:before="120" w:after="120"/>
              <w:rPr/>
            </w:pPr>
            <w:r>
              <w:rPr/>
              <w:t>Organisateur :</w:t>
            </w:r>
          </w:p>
        </w:tc>
      </w:tr>
      <w:tr>
        <w:trPr>
          <w:trHeight w:val="680" w:hRule="atLeast"/>
        </w:trPr>
        <w:tc>
          <w:tcPr>
            <w:tcW w:w="2414" w:type="dxa"/>
            <w:tcBorders>
              <w:top w:val="single" w:sz="24" w:space="0" w:color="244061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Gras"/>
              <w:rPr/>
            </w:pPr>
            <w:r>
              <w:rPr/>
              <w:t>1 mois avant la date de l’épreuve</w:t>
            </w:r>
          </w:p>
        </w:tc>
        <w:tc>
          <w:tcPr>
            <w:tcW w:w="8277" w:type="dxa"/>
            <w:tcBorders>
              <w:top w:val="single" w:sz="24" w:space="0" w:color="244061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Valider les conditions de l’épreuve avec le golf d’accueil (Fiche règlement de compétition sur le site) :</w:t>
            </w:r>
          </w:p>
          <w:p>
            <w:pPr>
              <w:pStyle w:val="10TablePuce"/>
              <w:numPr>
                <w:ilvl w:val="0"/>
                <w:numId w:val="4"/>
              </w:numPr>
              <w:ind w:left="988" w:hanging="284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confirmation de la date.</w:t>
            </w:r>
          </w:p>
          <w:p>
            <w:pPr>
              <w:pStyle w:val="10TablePuce"/>
              <w:numPr>
                <w:ilvl w:val="0"/>
                <w:numId w:val="4"/>
              </w:numPr>
              <w:ind w:left="988" w:hanging="284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de la forme et heure de départ (shotgun, 1 &amp; 10 , etc…).</w:t>
            </w:r>
          </w:p>
          <w:p>
            <w:pPr>
              <w:pStyle w:val="10TablePuce"/>
              <w:numPr>
                <w:ilvl w:val="0"/>
                <w:numId w:val="4"/>
              </w:numPr>
              <w:ind w:left="988" w:hanging="284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des conditions de prix : green-fees, repas, droits de jeu membre.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Lire ENTIÈREMENT le règlement des épreuves ASGE du site web.</w:t>
            </w:r>
          </w:p>
        </w:tc>
      </w:tr>
      <w:tr>
        <w:trPr>
          <w:trHeight w:val="680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Gras"/>
              <w:rPr>
                <w:rFonts w:eastAsia="Wingdings"/>
              </w:rPr>
            </w:pPr>
            <w:r>
              <w:rPr>
                <w:rFonts w:eastAsia="Wingdings"/>
              </w:rPr>
              <w:t>1 semaine avant la date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 xml:space="preserve">Récupérer la liste des inscrits auprès du Responsable ASGE. 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 xml:space="preserve">Suivant le nombre d’inscrits, accepter ou refuser les éventuels invités. 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Organiser les départs en définissant les trous doublés avec l’accord du golf.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Donner au golf la liste des départs, la fiche de règlement et l’annexe RMS-Clubs.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Contrôler que TOUTES nos règles sont appliquées (séries, 36, Golf d’Entreprises).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Envoyer la liste des départs dès que finalisée au webmaster pour le site web.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Décider du placement ou non de la balle sur les zones tondues raz et l’indiquer sur les cartes de scores.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Rédiger les règles locales ou décider que ce sont celles du club qui s’appliquent.</w:t>
            </w:r>
          </w:p>
        </w:tc>
      </w:tr>
      <w:tr>
        <w:trPr>
          <w:trHeight w:val="680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Gras"/>
              <w:rPr>
                <w:rFonts w:eastAsia="Wingdings"/>
              </w:rPr>
            </w:pPr>
            <w:r>
              <w:rPr>
                <w:rFonts w:eastAsia="Wingdings"/>
              </w:rPr>
              <w:t>Jusqu’à la veille de l’épreuve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Gérer les « scratchs ».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Envoyer au « Responsable de Division ou Epreuve », les participants en indiquant les équipiers et les invités pour préparer le fichier de calcul des résultats.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Préparer les reçus.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Désigner vos éventuels assistants (photos, distribution des cartes, commissaire, …)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Si besoin, se faire assister par le « Responsable de Division ou Epreuve ».</w:t>
            </w:r>
          </w:p>
        </w:tc>
      </w:tr>
      <w:tr>
        <w:trPr>
          <w:trHeight w:val="680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Gras"/>
              <w:rPr>
                <w:rFonts w:eastAsia="Wingdings"/>
              </w:rPr>
            </w:pPr>
            <w:r>
              <w:rPr>
                <w:rFonts w:eastAsia="Wingdings"/>
              </w:rPr>
              <w:t>La veille de l’épreuve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Récupérer les cartes de score et les trier par association (ou tôt le jour de la compétition).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Vérifier que le golf a bien ramené le handicap de jeu à 36.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Vérifier, pour le Trophée, que le handicap de jeu est bien 90% du handicap de jeu du joueur.</w:t>
            </w:r>
          </w:p>
        </w:tc>
      </w:tr>
      <w:tr>
        <w:trPr>
          <w:trHeight w:val="680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Gras"/>
              <w:rPr>
                <w:rFonts w:eastAsia="Wingdings"/>
              </w:rPr>
            </w:pPr>
            <w:r>
              <w:rPr>
                <w:rFonts w:eastAsia="Wingdings"/>
              </w:rPr>
              <w:t>Le jour de l’épreuve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Etre présent 1 heure avant le départ.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Encaisser les chèques et distribuer les cartes de scorre et reçus aux capitaines d’équipe.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Contrôler le bon déroulement de l’épreuve (si possible par commissaire).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Faire enregistrer rapidement les résultats dans RMS.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Assister à la récupération des résultats en vue du calcul automatique.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Se faire envoyer les résultats ainsi qu’au webmaster (entregolf@gmail.com).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Annoncer les résultats individuels et par équipe.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Prendre ou faire prendre des photos et les envoyer pour parution sur le site.</w:t>
            </w:r>
          </w:p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Régler les notes de golf et restaurant.</w:t>
            </w:r>
          </w:p>
        </w:tc>
      </w:tr>
      <w:tr>
        <w:trPr>
          <w:trHeight w:val="680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Gras"/>
              <w:rPr>
                <w:rFonts w:eastAsia="Wingdings"/>
              </w:rPr>
            </w:pPr>
            <w:r>
              <w:rPr>
                <w:rFonts w:eastAsia="Wingdings"/>
              </w:rPr>
              <w:t>Le lendemain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11Tableau"/>
              <w:rPr>
                <w:rFonts w:eastAsia="Wingdings" w:cs="Wingdings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Wingdings" w:cs="Wingdings"/>
              </w:rPr>
              <w:tab/>
              <w:t>S’assurer que les résultats ont été transmis à la FFG pour mise à jour des index.</w:t>
            </w:r>
          </w:p>
        </w:tc>
      </w:tr>
    </w:tbl>
    <w:p>
      <w:pPr>
        <w:pStyle w:val="10Paragraphe"/>
        <w:rPr>
          <w:rFonts w:eastAsia="Wingdings"/>
        </w:rPr>
      </w:pPr>
      <w:r>
        <w:rPr>
          <w:rFonts w:eastAsia="Wingdings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720" w:header="180" w:top="720" w:footer="454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lang w:val="fr-FR" w:eastAsia="fr-FR"/>
      </w:rPr>
    </w:pPr>
    <w:r>
      <w:rPr>
        <w:lang w:val="fr-FR" w:eastAsia="fr-FR"/>
      </w:rPr>
      <w:drawing>
        <wp:inline distT="0" distB="0" distL="0" distR="0">
          <wp:extent cx="962660" cy="789940"/>
          <wp:effectExtent l="0" t="0" r="0" b="0"/>
          <wp:docPr id="1" name="Imag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636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Cambria" w:hAnsi="Cambria" w:cs="Arial"/>
      <w:b/>
      <w:bCs/>
      <w:color w:val="17365D"/>
      <w:sz w:val="32"/>
      <w:szCs w:val="32"/>
    </w:rPr>
  </w:style>
  <w:style w:type="character" w:styleId="WW8Num1z0">
    <w:name w:val="WW8Num1z0"/>
    <w:qFormat/>
    <w:rPr>
      <w:rFonts w:ascii="Calibri" w:hAnsi="Calibri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Calibri" w:hAnsi="Calibri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eastAsia="Times New Roman" w:cs="Times New Roman"/>
      <w:b w:val="false"/>
      <w:sz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uce">
    <w:name w:val="&amp;Puce"/>
    <w:basedOn w:val="Normal"/>
    <w:qFormat/>
    <w:pPr>
      <w:numPr>
        <w:ilvl w:val="0"/>
        <w:numId w:val="2"/>
      </w:numPr>
      <w:spacing w:before="120" w:after="0"/>
      <w:jc w:val="both"/>
    </w:pPr>
    <w:rPr>
      <w:rFonts w:ascii="Comic Sans MS" w:hAnsi="Comic Sans MS" w:cs="Comic Sans MS"/>
      <w:sz w:val="20"/>
      <w:szCs w:val="20"/>
    </w:rPr>
  </w:style>
  <w:style w:type="paragraph" w:styleId="Puce1">
    <w:name w:val="&amp;Puce1"/>
    <w:basedOn w:val="Normal"/>
    <w:qFormat/>
    <w:pPr>
      <w:numPr>
        <w:ilvl w:val="0"/>
        <w:numId w:val="5"/>
      </w:numPr>
    </w:pPr>
    <w:rPr/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10Paragraphe">
    <w:name w:val="10 Paragraphe"/>
    <w:qFormat/>
    <w:pPr>
      <w:widowControl/>
      <w:spacing w:before="120" w:after="0"/>
    </w:pPr>
    <w:rPr>
      <w:rFonts w:ascii="Times New Roman" w:hAnsi="Times New Roman" w:eastAsia="Times New Roman" w:cs="Times New Roman"/>
      <w:color w:val="auto"/>
      <w:sz w:val="22"/>
      <w:szCs w:val="20"/>
      <w:lang w:val="fr-FR" w:eastAsia="fr-FR" w:bidi="ar-SA"/>
    </w:rPr>
  </w:style>
  <w:style w:type="paragraph" w:styleId="11Tableau">
    <w:name w:val="11 Tableau"/>
    <w:qFormat/>
    <w:pPr>
      <w:widowControl/>
      <w:tabs>
        <w:tab w:val="left" w:pos="-3058" w:leader="none"/>
        <w:tab w:val="left" w:pos="705" w:leader="none"/>
      </w:tabs>
      <w:ind w:left="705" w:hanging="567"/>
    </w:pPr>
    <w:rPr>
      <w:rFonts w:ascii="Calibri" w:hAnsi="Calibri" w:eastAsia="Times New Roman" w:cs="Calibri"/>
      <w:bCs/>
      <w:color w:val="auto"/>
      <w:sz w:val="22"/>
      <w:szCs w:val="22"/>
      <w:lang w:val="fr-FR" w:eastAsia="fr-FR" w:bidi="ar-SA"/>
    </w:rPr>
  </w:style>
  <w:style w:type="paragraph" w:styleId="11TableauGras">
    <w:name w:val="11 Tableau_Gras"/>
    <w:basedOn w:val="11Tableau"/>
    <w:qFormat/>
    <w:pPr/>
    <w:rPr>
      <w:b/>
    </w:rPr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10Puce">
    <w:name w:val="10 Puce"/>
    <w:basedOn w:val="Normal"/>
    <w:qFormat/>
    <w:pPr>
      <w:numPr>
        <w:ilvl w:val="0"/>
        <w:numId w:val="3"/>
      </w:numPr>
      <w:spacing w:before="0" w:after="60"/>
      <w:ind w:left="828" w:hanging="357"/>
    </w:pPr>
    <w:rPr/>
  </w:style>
  <w:style w:type="paragraph" w:styleId="11TableauTitre">
    <w:name w:val="11 Tableau Titre"/>
    <w:basedOn w:val="11Tableau"/>
    <w:qFormat/>
    <w:pPr>
      <w:tabs>
        <w:tab w:val="left" w:pos="-3058" w:leader="none"/>
        <w:tab w:val="left" w:pos="705" w:leader="none"/>
        <w:tab w:val="left" w:pos="5688" w:leader="none"/>
      </w:tabs>
      <w:spacing w:before="120" w:after="120"/>
    </w:pPr>
    <w:rPr>
      <w:rFonts w:ascii="Cambria" w:hAnsi="Cambria" w:cs="Cambria"/>
      <w:b/>
      <w:bCs w:val="false"/>
      <w:smallCaps/>
      <w:color w:val="244061"/>
      <w:sz w:val="28"/>
      <w:szCs w:val="28"/>
    </w:rPr>
  </w:style>
  <w:style w:type="paragraph" w:styleId="10Table">
    <w:name w:val="10 Table"/>
    <w:basedOn w:val="11Tableau"/>
    <w:qFormat/>
    <w:pPr/>
    <w:rPr/>
  </w:style>
  <w:style w:type="paragraph" w:styleId="10TablePuce">
    <w:name w:val="10 Table Puce"/>
    <w:basedOn w:val="10Table"/>
    <w:qFormat/>
    <w:pPr>
      <w:numPr>
        <w:ilvl w:val="0"/>
        <w:numId w:val="4"/>
      </w:numPr>
      <w:tabs>
        <w:tab w:val="left" w:pos="-3058" w:leader="none"/>
        <w:tab w:val="left" w:pos="988" w:leader="none"/>
      </w:tabs>
      <w:ind w:left="988" w:hanging="284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LibreOffice/5.1.6.2$MacOSX_X86_64 LibreOffice_project/07ac168c60a517dba0f0d7bc7540f5afa45f0909</Application>
  <Pages>1</Pages>
  <Words>434</Words>
  <Characters>2052</Characters>
  <CharactersWithSpaces>2443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2017-01-09T21:09:00Z</dcterms:created>
  <dc:creator>Marc Battistella Tél :9860</dc:creator>
  <dc:description/>
  <dc:language>fr-FR</dc:language>
  <cp:lastModifiedBy/>
  <cp:lastPrinted>2007-09-27T14:24:00Z</cp:lastPrinted>
  <dcterms:modified xsi:type="dcterms:W3CDTF">2017-03-06T12:18:51Z</dcterms:modified>
  <cp:revision>3</cp:revision>
  <dc:subject/>
  <dc:title>Association Sportive de Grenoble-Charmeil</dc:title>
</cp:coreProperties>
</file>